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EBF5" w14:textId="6D665239" w:rsidR="009242F0" w:rsidRPr="00E15C83" w:rsidRDefault="002A55B9" w:rsidP="00E15C83">
      <w:pPr>
        <w:pStyle w:val="Heading1"/>
        <w:jc w:val="center"/>
        <w:rPr>
          <w:u w:val="single"/>
        </w:rPr>
      </w:pPr>
      <w:r w:rsidRPr="00E15C83">
        <w:rPr>
          <w:u w:val="single"/>
        </w:rPr>
        <w:t>Supplier Quality Requirements</w:t>
      </w:r>
    </w:p>
    <w:p w14:paraId="201CF038" w14:textId="77777777" w:rsidR="009242F0" w:rsidRDefault="002A55B9">
      <w:pPr>
        <w:pStyle w:val="Heading2"/>
      </w:pPr>
      <w:r>
        <w:t>1. Purpose</w:t>
      </w:r>
    </w:p>
    <w:p w14:paraId="1138627F" w14:textId="77777777" w:rsidR="009242F0" w:rsidRDefault="002A55B9">
      <w:r>
        <w:t>This document defines the mandatory quality, regulatory, and airworthiness requirements applicable to all suppliers providing products or services to LB Aircraft Engineering (LBAE). These requirements support compliance with AS9100D and 14 CFR Part 21.137.</w:t>
      </w:r>
    </w:p>
    <w:p w14:paraId="3B2766EC" w14:textId="77777777" w:rsidR="009242F0" w:rsidRDefault="002A55B9">
      <w:pPr>
        <w:pStyle w:val="Heading2"/>
      </w:pPr>
      <w:r>
        <w:t>2. Scope</w:t>
      </w:r>
    </w:p>
    <w:p w14:paraId="71A43BD4" w14:textId="77777777" w:rsidR="009242F0" w:rsidRDefault="002A55B9">
      <w:r w:rsidRPr="00E15C83">
        <w:rPr>
          <w:b/>
          <w:bCs/>
        </w:rPr>
        <w:t>These requirements apply to all Purchase Orders issued by LBAE unless otherwise specified.</w:t>
      </w:r>
      <w:r>
        <w:t xml:space="preserve"> All suppliers shall comply with the requirements defined herein.</w:t>
      </w:r>
    </w:p>
    <w:p w14:paraId="44983AE3" w14:textId="77777777" w:rsidR="009242F0" w:rsidRDefault="002A55B9">
      <w:pPr>
        <w:pStyle w:val="Heading2"/>
      </w:pPr>
      <w:r>
        <w:t>3. General Quality Requirements</w:t>
      </w:r>
    </w:p>
    <w:p w14:paraId="1F17EE82" w14:textId="77777777" w:rsidR="009242F0" w:rsidRDefault="002A55B9">
      <w:pPr>
        <w:pStyle w:val="ListBullet"/>
      </w:pPr>
      <w:r>
        <w:t>Suppliers shall:</w:t>
      </w:r>
    </w:p>
    <w:p w14:paraId="7425B51C" w14:textId="77777777" w:rsidR="009242F0" w:rsidRDefault="002A55B9">
      <w:pPr>
        <w:pStyle w:val="ListBullet"/>
      </w:pPr>
      <w:r>
        <w:t>Maintain a Quality Management System appropriate to the scope of work.</w:t>
      </w:r>
    </w:p>
    <w:p w14:paraId="65A1E2BD" w14:textId="77777777" w:rsidR="009242F0" w:rsidRDefault="002A55B9">
      <w:pPr>
        <w:pStyle w:val="ListBullet"/>
      </w:pPr>
      <w:r>
        <w:t>Ensure personnel are trained and competent.</w:t>
      </w:r>
    </w:p>
    <w:p w14:paraId="0E845856" w14:textId="77777777" w:rsidR="009242F0" w:rsidRDefault="002A55B9">
      <w:pPr>
        <w:pStyle w:val="ListBullet"/>
      </w:pPr>
      <w:r>
        <w:t>Comply with all PO, drawing, specification, and regulatory requirements.</w:t>
      </w:r>
    </w:p>
    <w:p w14:paraId="063D8F65" w14:textId="77777777" w:rsidR="009242F0" w:rsidRDefault="002A55B9">
      <w:pPr>
        <w:pStyle w:val="ListBullet"/>
      </w:pPr>
      <w:r>
        <w:t>Prevent use of obsolete documents.</w:t>
      </w:r>
    </w:p>
    <w:p w14:paraId="02B2D95B" w14:textId="77777777" w:rsidR="009242F0" w:rsidRDefault="002A55B9">
      <w:pPr>
        <w:pStyle w:val="Heading2"/>
      </w:pPr>
      <w:r>
        <w:t>4. Configuration &amp; Change Control</w:t>
      </w:r>
    </w:p>
    <w:p w14:paraId="22492C5C" w14:textId="77777777" w:rsidR="009242F0" w:rsidRDefault="002A55B9">
      <w:r>
        <w:t>Suppliers shall not implement changes affecting form, fit, function, or compliance without written approval from LBAE.</w:t>
      </w:r>
    </w:p>
    <w:p w14:paraId="6C379705" w14:textId="77777777" w:rsidR="009242F0" w:rsidRDefault="002A55B9">
      <w:pPr>
        <w:pStyle w:val="ListBullet"/>
      </w:pPr>
      <w:r>
        <w:t>Suppliers shall notify LBAE of changes to:</w:t>
      </w:r>
    </w:p>
    <w:p w14:paraId="2BA9843E" w14:textId="77777777" w:rsidR="009242F0" w:rsidRDefault="002A55B9">
      <w:pPr>
        <w:pStyle w:val="ListBullet"/>
      </w:pPr>
      <w:r>
        <w:t>Manufacturing location</w:t>
      </w:r>
    </w:p>
    <w:p w14:paraId="214307E1" w14:textId="77777777" w:rsidR="009242F0" w:rsidRDefault="002A55B9">
      <w:pPr>
        <w:pStyle w:val="ListBullet"/>
      </w:pPr>
      <w:r>
        <w:t>Ownership or key personnel</w:t>
      </w:r>
    </w:p>
    <w:p w14:paraId="239215E9" w14:textId="77777777" w:rsidR="009242F0" w:rsidRDefault="002A55B9">
      <w:pPr>
        <w:pStyle w:val="ListBullet"/>
      </w:pPr>
      <w:r>
        <w:t>Process or special processes</w:t>
      </w:r>
    </w:p>
    <w:p w14:paraId="365F56F3" w14:textId="77777777" w:rsidR="009242F0" w:rsidRDefault="002A55B9">
      <w:pPr>
        <w:pStyle w:val="ListBullet"/>
      </w:pPr>
      <w:r>
        <w:t>Sub-tier suppliers</w:t>
      </w:r>
    </w:p>
    <w:p w14:paraId="029770D0" w14:textId="77777777" w:rsidR="009242F0" w:rsidRDefault="002A55B9">
      <w:pPr>
        <w:pStyle w:val="Heading2"/>
      </w:pPr>
      <w:r>
        <w:t>5. Regulatory &amp; Airworthiness Compliance</w:t>
      </w:r>
    </w:p>
    <w:p w14:paraId="06CF8873" w14:textId="77777777" w:rsidR="009242F0" w:rsidRDefault="002A55B9">
      <w:r>
        <w:t>Products supplied shall conform to applicable FAA regulations including 14 CFR Part 21. Suppliers shall support regulatory investigations and provide required documentation upon request.</w:t>
      </w:r>
    </w:p>
    <w:p w14:paraId="62B24FB0" w14:textId="77777777" w:rsidR="009242F0" w:rsidRDefault="002A55B9">
      <w:pPr>
        <w:pStyle w:val="Heading2"/>
      </w:pPr>
      <w:r>
        <w:t>6. Certificate of Conformance</w:t>
      </w:r>
    </w:p>
    <w:p w14:paraId="6DA7EE57" w14:textId="77777777" w:rsidR="009242F0" w:rsidRDefault="002A55B9">
      <w:pPr>
        <w:pStyle w:val="ListBullet"/>
      </w:pPr>
      <w:r>
        <w:t>Each shipment shall include a Certificate of Conformance containing:</w:t>
      </w:r>
    </w:p>
    <w:p w14:paraId="5E6F613C" w14:textId="77777777" w:rsidR="009242F0" w:rsidRDefault="002A55B9">
      <w:pPr>
        <w:pStyle w:val="ListBullet"/>
      </w:pPr>
      <w:r>
        <w:t>Purchase Order number</w:t>
      </w:r>
    </w:p>
    <w:p w14:paraId="71F22EB5" w14:textId="77777777" w:rsidR="009242F0" w:rsidRDefault="002A55B9">
      <w:pPr>
        <w:pStyle w:val="ListBullet"/>
      </w:pPr>
      <w:r>
        <w:t>Part number and revision level</w:t>
      </w:r>
    </w:p>
    <w:p w14:paraId="72F6D5E1" w14:textId="77777777" w:rsidR="009242F0" w:rsidRDefault="002A55B9">
      <w:pPr>
        <w:pStyle w:val="ListBullet"/>
      </w:pPr>
      <w:r>
        <w:t>Lot, batch, or serial number (if applicable)</w:t>
      </w:r>
    </w:p>
    <w:p w14:paraId="027809F6" w14:textId="77777777" w:rsidR="009242F0" w:rsidRDefault="002A55B9">
      <w:pPr>
        <w:pStyle w:val="ListBullet"/>
      </w:pPr>
      <w:r>
        <w:lastRenderedPageBreak/>
        <w:t>Authorized quality signature</w:t>
      </w:r>
    </w:p>
    <w:p w14:paraId="5222C129" w14:textId="77777777" w:rsidR="009242F0" w:rsidRDefault="002A55B9">
      <w:pPr>
        <w:pStyle w:val="Heading2"/>
      </w:pPr>
      <w:r>
        <w:t>7. Traceability</w:t>
      </w:r>
    </w:p>
    <w:p w14:paraId="1A5934D7" w14:textId="77777777" w:rsidR="009242F0" w:rsidRDefault="002A55B9">
      <w:r>
        <w:t>Suppliers shall maintain full traceability to raw materials, processing, and sub-tier suppliers. Traceability records shall be retained for a minimum of 10 years.</w:t>
      </w:r>
    </w:p>
    <w:p w14:paraId="6B4CD8A5" w14:textId="77777777" w:rsidR="009242F0" w:rsidRDefault="002A55B9">
      <w:pPr>
        <w:pStyle w:val="Heading2"/>
      </w:pPr>
      <w:r>
        <w:t>8. Special Processes</w:t>
      </w:r>
    </w:p>
    <w:p w14:paraId="7E202926" w14:textId="77777777" w:rsidR="009242F0" w:rsidRDefault="002A55B9">
      <w:r>
        <w:t>Suppliers performing special processes (e.g., plating, heat treat, welding, NDT) must be approved by LBAE. Certifications must accompany each shipment.</w:t>
      </w:r>
    </w:p>
    <w:p w14:paraId="32D796B5" w14:textId="77777777" w:rsidR="009242F0" w:rsidRDefault="002A55B9">
      <w:pPr>
        <w:pStyle w:val="Heading2"/>
      </w:pPr>
      <w:r>
        <w:t>9. Counterfeit Parts Prevention</w:t>
      </w:r>
    </w:p>
    <w:p w14:paraId="13BD79FE" w14:textId="77777777" w:rsidR="009242F0" w:rsidRDefault="002A55B9">
      <w:r>
        <w:t>Suppliers shall implement controls to prevent counterfeit or suspect unapproved parts. Materials shall be sourced from original manufacturers or authorized distributors where applicable.</w:t>
      </w:r>
    </w:p>
    <w:p w14:paraId="66FDCFC0" w14:textId="77777777" w:rsidR="009242F0" w:rsidRDefault="002A55B9">
      <w:pPr>
        <w:pStyle w:val="Heading2"/>
      </w:pPr>
      <w:r>
        <w:t>10. Nonconformance Notification</w:t>
      </w:r>
    </w:p>
    <w:p w14:paraId="3217E7B8" w14:textId="77777777" w:rsidR="009242F0" w:rsidRDefault="002A55B9">
      <w:r>
        <w:t>Suppliers shall notify LBAE within 24 hours of discovering nonconforming product affecting delivered items. Nonconforming product shall not be shipped without written approval.</w:t>
      </w:r>
    </w:p>
    <w:p w14:paraId="5A21580E" w14:textId="77777777" w:rsidR="009242F0" w:rsidRDefault="002A55B9">
      <w:pPr>
        <w:pStyle w:val="Heading2"/>
      </w:pPr>
      <w:r>
        <w:t>11. Right of Access</w:t>
      </w:r>
    </w:p>
    <w:p w14:paraId="4C3C0599" w14:textId="77777777" w:rsidR="009242F0" w:rsidRDefault="002A55B9">
      <w:r>
        <w:t>LBAE, its customers, and regulatory authorities including the FAA shall have the right of access to supplier facilities, records, and quality documentation as required.</w:t>
      </w:r>
    </w:p>
    <w:p w14:paraId="35AFA9BB" w14:textId="77777777" w:rsidR="009242F0" w:rsidRDefault="002A55B9">
      <w:pPr>
        <w:pStyle w:val="Heading2"/>
      </w:pPr>
      <w:r>
        <w:t>12. Flowdown to Sub-Tier Suppliers</w:t>
      </w:r>
    </w:p>
    <w:p w14:paraId="2F0F3B09" w14:textId="77777777" w:rsidR="009242F0" w:rsidRDefault="002A55B9">
      <w:r>
        <w:t>Suppliers shall flow down all applicable requirements of this document to sub-tier suppliers.</w:t>
      </w:r>
    </w:p>
    <w:p w14:paraId="76588269" w14:textId="77777777" w:rsidR="009242F0" w:rsidRDefault="002A55B9">
      <w:pPr>
        <w:pStyle w:val="Heading2"/>
      </w:pPr>
      <w:r>
        <w:t>13. Records Retention</w:t>
      </w:r>
    </w:p>
    <w:p w14:paraId="3C8FF48D" w14:textId="77777777" w:rsidR="009242F0" w:rsidRDefault="002A55B9">
      <w:r>
        <w:t>Quality records shall be retained for a minimum of 10 years unless otherwise specified. Records shall be made available upon request.</w:t>
      </w:r>
    </w:p>
    <w:sectPr w:rsidR="009242F0"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9432" w14:textId="77777777" w:rsidR="00AF73DE" w:rsidRDefault="00AF73DE" w:rsidP="00E15C83">
      <w:pPr>
        <w:spacing w:after="0" w:line="240" w:lineRule="auto"/>
      </w:pPr>
      <w:r>
        <w:separator/>
      </w:r>
    </w:p>
  </w:endnote>
  <w:endnote w:type="continuationSeparator" w:id="0">
    <w:p w14:paraId="702A8FCD" w14:textId="77777777" w:rsidR="00AF73DE" w:rsidRDefault="00AF73DE" w:rsidP="00E15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raggadocio">
    <w:altName w:val="Calibri"/>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A828" w14:textId="77777777" w:rsidR="00E15C83" w:rsidRDefault="00E15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A61C" w14:textId="77777777" w:rsidR="00E15C83" w:rsidRDefault="00E15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F723" w14:textId="77777777" w:rsidR="00E15C83" w:rsidRDefault="00E15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F754" w14:textId="77777777" w:rsidR="00AF73DE" w:rsidRDefault="00AF73DE" w:rsidP="00E15C83">
      <w:pPr>
        <w:spacing w:after="0" w:line="240" w:lineRule="auto"/>
      </w:pPr>
      <w:r>
        <w:separator/>
      </w:r>
    </w:p>
  </w:footnote>
  <w:footnote w:type="continuationSeparator" w:id="0">
    <w:p w14:paraId="6DE37A61" w14:textId="77777777" w:rsidR="00AF73DE" w:rsidRDefault="00AF73DE" w:rsidP="00E15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2B12D" w14:textId="55722B1D" w:rsidR="00E15C83" w:rsidRDefault="00E15C83">
    <w:pPr>
      <w:pStyle w:val="Header"/>
    </w:pPr>
    <w:r>
      <w:rPr>
        <w:noProof/>
      </w:rPr>
      <w:pict w14:anchorId="54978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06266" o:spid="_x0000_s1026" type="#_x0000_t136" style="position:absolute;margin-left:0;margin-top:0;width:507.6pt;height:101.5pt;rotation:315;z-index:-251655168;mso-position-horizontal:center;mso-position-horizontal-relative:margin;mso-position-vertical:center;mso-position-vertical-relative:margin" o:allowincell="f" fillcolor="silver" stroked="f">
          <v:fill opacity=".5"/>
          <v:textpath style="font-family:&quot;Cambria&quot;;font-size:1pt" string="Controll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4"/>
      <w:gridCol w:w="1501"/>
      <w:gridCol w:w="2817"/>
    </w:tblGrid>
    <w:tr w:rsidR="00E15C83" w14:paraId="784952F5" w14:textId="77777777" w:rsidTr="00AE0F7F">
      <w:trPr>
        <w:trHeight w:val="362"/>
        <w:jc w:val="center"/>
      </w:trPr>
      <w:tc>
        <w:tcPr>
          <w:tcW w:w="6474" w:type="dxa"/>
          <w:vMerge w:val="restart"/>
          <w:vAlign w:val="center"/>
        </w:tcPr>
        <w:p w14:paraId="42419D48" w14:textId="77777777" w:rsidR="00E15C83" w:rsidRPr="00130CEF" w:rsidRDefault="00E15C83" w:rsidP="00E15C83">
          <w:pPr>
            <w:pStyle w:val="Header"/>
            <w:rPr>
              <w:rFonts w:ascii="Braggadocio" w:hAnsi="Braggadocio" w:cs="Arial"/>
              <w:b/>
              <w:bCs/>
              <w:i/>
              <w:color w:val="E36C0A" w:themeColor="accent6" w:themeShade="BF"/>
              <w:szCs w:val="24"/>
            </w:rPr>
          </w:pPr>
          <w:r>
            <w:rPr>
              <w:rFonts w:ascii="Braggadocio" w:hAnsi="Braggadocio" w:cs="Arial"/>
              <w:b/>
              <w:bCs/>
              <w:i/>
              <w:noProof/>
              <w:color w:val="E36C0A" w:themeColor="accent6" w:themeShade="BF"/>
              <w:szCs w:val="24"/>
            </w:rPr>
            <w:drawing>
              <wp:inline distT="0" distB="0" distL="0" distR="0" wp14:anchorId="574A952F" wp14:editId="6349FF51">
                <wp:extent cx="1626721" cy="743505"/>
                <wp:effectExtent l="0" t="0" r="0" b="0"/>
                <wp:docPr id="1285106099" name="Picture 1" descr="A blue and black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79185" name="Picture 1" descr="A blue and black logo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2195" cy="746007"/>
                        </a:xfrm>
                        <a:prstGeom prst="rect">
                          <a:avLst/>
                        </a:prstGeom>
                        <a:noFill/>
                      </pic:spPr>
                    </pic:pic>
                  </a:graphicData>
                </a:graphic>
              </wp:inline>
            </w:drawing>
          </w:r>
        </w:p>
      </w:tc>
      <w:tc>
        <w:tcPr>
          <w:tcW w:w="1501" w:type="dxa"/>
          <w:vMerge w:val="restart"/>
          <w:vAlign w:val="center"/>
        </w:tcPr>
        <w:p w14:paraId="6A3BAC65" w14:textId="77777777" w:rsidR="00E15C83" w:rsidRPr="003E4AF8" w:rsidRDefault="00E15C83" w:rsidP="00E15C83">
          <w:pPr>
            <w:pStyle w:val="Header"/>
            <w:jc w:val="center"/>
            <w:rPr>
              <w:rFonts w:ascii="Arial" w:hAnsi="Arial" w:cs="Arial"/>
              <w:sz w:val="12"/>
              <w:szCs w:val="12"/>
            </w:rPr>
          </w:pPr>
          <w:r w:rsidRPr="003E4AF8">
            <w:rPr>
              <w:rFonts w:ascii="Arial" w:hAnsi="Arial" w:cs="Arial"/>
              <w:sz w:val="12"/>
              <w:szCs w:val="12"/>
            </w:rPr>
            <w:t>DOCUMENT NUMBER:</w:t>
          </w:r>
        </w:p>
        <w:p w14:paraId="0E518559" w14:textId="7E906195" w:rsidR="00E15C83" w:rsidRPr="006F6725" w:rsidRDefault="00E15C83" w:rsidP="00E15C83">
          <w:pPr>
            <w:pStyle w:val="Header"/>
            <w:jc w:val="center"/>
            <w:rPr>
              <w:rFonts w:ascii="Arial" w:hAnsi="Arial" w:cs="Arial"/>
            </w:rPr>
          </w:pPr>
          <w:r>
            <w:rPr>
              <w:rFonts w:ascii="Arial" w:hAnsi="Arial" w:cs="Arial"/>
            </w:rPr>
            <w:t>SQR-840-01</w:t>
          </w:r>
        </w:p>
      </w:tc>
      <w:tc>
        <w:tcPr>
          <w:tcW w:w="2817" w:type="dxa"/>
          <w:vAlign w:val="center"/>
        </w:tcPr>
        <w:p w14:paraId="687554F6" w14:textId="77777777" w:rsidR="00E15C83" w:rsidRPr="003E4AF8" w:rsidRDefault="00E15C83" w:rsidP="00E15C83">
          <w:pPr>
            <w:pStyle w:val="Header"/>
            <w:jc w:val="center"/>
            <w:rPr>
              <w:rFonts w:ascii="Arial" w:hAnsi="Arial" w:cs="Arial"/>
              <w:sz w:val="20"/>
              <w:szCs w:val="16"/>
            </w:rPr>
          </w:pPr>
          <w:r w:rsidRPr="003E4AF8">
            <w:rPr>
              <w:rFonts w:ascii="Arial" w:hAnsi="Arial" w:cs="Arial"/>
              <w:sz w:val="20"/>
              <w:szCs w:val="16"/>
            </w:rPr>
            <w:t xml:space="preserve">REVISION:  </w:t>
          </w:r>
          <w:r>
            <w:rPr>
              <w:rFonts w:ascii="Arial" w:hAnsi="Arial" w:cs="Arial"/>
              <w:sz w:val="20"/>
              <w:szCs w:val="16"/>
            </w:rPr>
            <w:t>1</w:t>
          </w:r>
        </w:p>
      </w:tc>
    </w:tr>
    <w:tr w:rsidR="00E15C83" w14:paraId="678111D4" w14:textId="77777777" w:rsidTr="00AE0F7F">
      <w:trPr>
        <w:trHeight w:val="79"/>
        <w:jc w:val="center"/>
      </w:trPr>
      <w:tc>
        <w:tcPr>
          <w:tcW w:w="6474" w:type="dxa"/>
          <w:vMerge/>
          <w:vAlign w:val="center"/>
        </w:tcPr>
        <w:p w14:paraId="300068EE" w14:textId="77777777" w:rsidR="00E15C83" w:rsidRPr="00820111" w:rsidRDefault="00E15C83" w:rsidP="00E15C83">
          <w:pPr>
            <w:pStyle w:val="Header"/>
            <w:rPr>
              <w:noProof/>
              <w:szCs w:val="24"/>
            </w:rPr>
          </w:pPr>
        </w:p>
      </w:tc>
      <w:tc>
        <w:tcPr>
          <w:tcW w:w="1501" w:type="dxa"/>
          <w:vMerge/>
          <w:vAlign w:val="center"/>
        </w:tcPr>
        <w:p w14:paraId="1AC649E8" w14:textId="77777777" w:rsidR="00E15C83" w:rsidRPr="006B7C01" w:rsidRDefault="00E15C83" w:rsidP="00E15C83">
          <w:pPr>
            <w:pStyle w:val="Header"/>
            <w:rPr>
              <w:rFonts w:ascii="Arial" w:hAnsi="Arial" w:cs="Arial"/>
              <w:sz w:val="16"/>
              <w:szCs w:val="16"/>
            </w:rPr>
          </w:pPr>
        </w:p>
      </w:tc>
      <w:tc>
        <w:tcPr>
          <w:tcW w:w="2817" w:type="dxa"/>
          <w:vAlign w:val="center"/>
        </w:tcPr>
        <w:p w14:paraId="440DFBC8" w14:textId="77777777" w:rsidR="00E15C83" w:rsidRPr="003E4AF8" w:rsidRDefault="00E15C83" w:rsidP="00E15C83">
          <w:pPr>
            <w:pStyle w:val="Header"/>
            <w:jc w:val="center"/>
            <w:rPr>
              <w:rFonts w:ascii="Arial" w:hAnsi="Arial" w:cs="Arial"/>
              <w:sz w:val="20"/>
              <w:szCs w:val="16"/>
            </w:rPr>
          </w:pPr>
          <w:r w:rsidRPr="003E4AF8">
            <w:rPr>
              <w:rFonts w:ascii="Arial" w:hAnsi="Arial" w:cs="Arial"/>
              <w:sz w:val="20"/>
              <w:szCs w:val="16"/>
            </w:rPr>
            <w:t xml:space="preserve">Page </w:t>
          </w:r>
          <w:r w:rsidRPr="003E4AF8">
            <w:rPr>
              <w:rFonts w:ascii="Arial" w:hAnsi="Arial" w:cs="Arial"/>
              <w:b/>
              <w:sz w:val="20"/>
              <w:szCs w:val="16"/>
            </w:rPr>
            <w:fldChar w:fldCharType="begin"/>
          </w:r>
          <w:r w:rsidRPr="003E4AF8">
            <w:rPr>
              <w:rFonts w:ascii="Arial" w:hAnsi="Arial" w:cs="Arial"/>
              <w:b/>
              <w:sz w:val="20"/>
              <w:szCs w:val="16"/>
            </w:rPr>
            <w:instrText xml:space="preserve"> PAGE  \* Arabic  \* MERGEFORMAT </w:instrText>
          </w:r>
          <w:r w:rsidRPr="003E4AF8">
            <w:rPr>
              <w:rFonts w:ascii="Arial" w:hAnsi="Arial" w:cs="Arial"/>
              <w:b/>
              <w:sz w:val="20"/>
              <w:szCs w:val="16"/>
            </w:rPr>
            <w:fldChar w:fldCharType="separate"/>
          </w:r>
          <w:r w:rsidRPr="003E4AF8">
            <w:rPr>
              <w:rFonts w:ascii="Arial" w:hAnsi="Arial" w:cs="Arial"/>
              <w:b/>
              <w:noProof/>
              <w:sz w:val="20"/>
              <w:szCs w:val="16"/>
            </w:rPr>
            <w:t>31</w:t>
          </w:r>
          <w:r w:rsidRPr="003E4AF8">
            <w:rPr>
              <w:rFonts w:ascii="Arial" w:hAnsi="Arial" w:cs="Arial"/>
              <w:b/>
              <w:sz w:val="20"/>
              <w:szCs w:val="16"/>
            </w:rPr>
            <w:fldChar w:fldCharType="end"/>
          </w:r>
          <w:r w:rsidRPr="003E4AF8">
            <w:rPr>
              <w:rFonts w:ascii="Arial" w:hAnsi="Arial" w:cs="Arial"/>
              <w:sz w:val="20"/>
              <w:szCs w:val="16"/>
            </w:rPr>
            <w:t xml:space="preserve"> of </w:t>
          </w:r>
          <w:r w:rsidRPr="003E4AF8">
            <w:rPr>
              <w:rFonts w:ascii="Arial" w:hAnsi="Arial" w:cs="Arial"/>
              <w:b/>
              <w:sz w:val="20"/>
              <w:szCs w:val="16"/>
            </w:rPr>
            <w:fldChar w:fldCharType="begin"/>
          </w:r>
          <w:r w:rsidRPr="003E4AF8">
            <w:rPr>
              <w:rFonts w:ascii="Arial" w:hAnsi="Arial" w:cs="Arial"/>
              <w:b/>
              <w:sz w:val="20"/>
              <w:szCs w:val="16"/>
            </w:rPr>
            <w:instrText xml:space="preserve"> NUMPAGES  \* Arabic  \* MERGEFORMAT </w:instrText>
          </w:r>
          <w:r w:rsidRPr="003E4AF8">
            <w:rPr>
              <w:rFonts w:ascii="Arial" w:hAnsi="Arial" w:cs="Arial"/>
              <w:b/>
              <w:sz w:val="20"/>
              <w:szCs w:val="16"/>
            </w:rPr>
            <w:fldChar w:fldCharType="separate"/>
          </w:r>
          <w:r w:rsidRPr="003E4AF8">
            <w:rPr>
              <w:rFonts w:ascii="Arial" w:hAnsi="Arial" w:cs="Arial"/>
              <w:b/>
              <w:noProof/>
              <w:sz w:val="20"/>
              <w:szCs w:val="16"/>
            </w:rPr>
            <w:t>31</w:t>
          </w:r>
          <w:r w:rsidRPr="003E4AF8">
            <w:rPr>
              <w:rFonts w:ascii="Arial" w:hAnsi="Arial" w:cs="Arial"/>
              <w:b/>
              <w:sz w:val="20"/>
              <w:szCs w:val="16"/>
            </w:rPr>
            <w:fldChar w:fldCharType="end"/>
          </w:r>
        </w:p>
      </w:tc>
    </w:tr>
    <w:tr w:rsidR="00E15C83" w14:paraId="049806D4" w14:textId="77777777" w:rsidTr="00AE0F7F">
      <w:trPr>
        <w:trHeight w:val="185"/>
        <w:jc w:val="center"/>
      </w:trPr>
      <w:tc>
        <w:tcPr>
          <w:tcW w:w="7975" w:type="dxa"/>
          <w:gridSpan w:val="2"/>
          <w:vAlign w:val="center"/>
        </w:tcPr>
        <w:p w14:paraId="5D95DA9D" w14:textId="192E76C5" w:rsidR="00E15C83" w:rsidRPr="00820111" w:rsidRDefault="00E15C83" w:rsidP="00E15C83">
          <w:pPr>
            <w:pStyle w:val="Header"/>
            <w:rPr>
              <w:rFonts w:ascii="Arial" w:hAnsi="Arial" w:cs="Arial"/>
              <w:sz w:val="18"/>
              <w:szCs w:val="18"/>
            </w:rPr>
          </w:pPr>
          <w:r>
            <w:rPr>
              <w:rFonts w:ascii="Arial" w:hAnsi="Arial" w:cs="Arial"/>
              <w:b/>
              <w:szCs w:val="20"/>
            </w:rPr>
            <w:t>8.4</w:t>
          </w:r>
          <w:r>
            <w:rPr>
              <w:rFonts w:ascii="Arial" w:hAnsi="Arial" w:cs="Arial"/>
              <w:b/>
              <w:szCs w:val="20"/>
            </w:rPr>
            <w:t xml:space="preserve"> </w:t>
          </w:r>
          <w:r>
            <w:rPr>
              <w:rFonts w:ascii="Arial" w:hAnsi="Arial" w:cs="Arial"/>
              <w:b/>
              <w:szCs w:val="20"/>
            </w:rPr>
            <w:t>Supplier Flow Down</w:t>
          </w:r>
          <w:r>
            <w:rPr>
              <w:rFonts w:ascii="Arial" w:hAnsi="Arial" w:cs="Arial"/>
              <w:b/>
              <w:szCs w:val="20"/>
            </w:rPr>
            <w:t xml:space="preserve"> </w:t>
          </w:r>
          <w:r w:rsidRPr="00820111">
            <w:rPr>
              <w:rFonts w:ascii="Arial" w:hAnsi="Arial" w:cs="Arial"/>
              <w:b/>
              <w:bCs/>
              <w:i/>
              <w:sz w:val="16"/>
              <w:szCs w:val="16"/>
            </w:rPr>
            <w:t>AS 9100 Rev. D [ ISO 9001: 2015]</w:t>
          </w:r>
          <w:r>
            <w:rPr>
              <w:rFonts w:ascii="Arial" w:hAnsi="Arial" w:cs="Arial"/>
              <w:b/>
              <w:bCs/>
              <w:i/>
              <w:sz w:val="16"/>
              <w:szCs w:val="16"/>
            </w:rPr>
            <w:t xml:space="preserve"> </w:t>
          </w:r>
        </w:p>
      </w:tc>
      <w:tc>
        <w:tcPr>
          <w:tcW w:w="2817" w:type="dxa"/>
          <w:vAlign w:val="center"/>
        </w:tcPr>
        <w:p w14:paraId="58F0A8C1" w14:textId="77777777" w:rsidR="00E15C83" w:rsidRPr="003E4AF8" w:rsidRDefault="00E15C83" w:rsidP="00E15C83">
          <w:pPr>
            <w:pStyle w:val="Header"/>
            <w:jc w:val="center"/>
            <w:rPr>
              <w:rFonts w:ascii="Arial" w:hAnsi="Arial" w:cs="Arial"/>
              <w:sz w:val="16"/>
              <w:szCs w:val="12"/>
            </w:rPr>
          </w:pPr>
          <w:r w:rsidRPr="003E4AF8">
            <w:rPr>
              <w:rFonts w:ascii="Arial" w:hAnsi="Arial" w:cs="Arial"/>
              <w:sz w:val="16"/>
              <w:szCs w:val="12"/>
            </w:rPr>
            <w:t>EFFECTIVE DATE:</w:t>
          </w:r>
        </w:p>
        <w:p w14:paraId="2386C749" w14:textId="77777777" w:rsidR="00E15C83" w:rsidRPr="003E4AF8" w:rsidRDefault="00E15C83" w:rsidP="00E15C83">
          <w:pPr>
            <w:pStyle w:val="Header"/>
            <w:jc w:val="center"/>
            <w:rPr>
              <w:rFonts w:ascii="Arial" w:hAnsi="Arial" w:cs="Arial"/>
              <w:sz w:val="20"/>
              <w:szCs w:val="16"/>
            </w:rPr>
          </w:pPr>
          <w:r>
            <w:rPr>
              <w:rFonts w:ascii="Arial" w:hAnsi="Arial" w:cs="Arial"/>
              <w:sz w:val="16"/>
              <w:szCs w:val="12"/>
            </w:rPr>
            <w:t>1-1-2025</w:t>
          </w:r>
        </w:p>
      </w:tc>
    </w:tr>
  </w:tbl>
  <w:p w14:paraId="2F050EF8" w14:textId="2C56EFFA" w:rsidR="00E15C83" w:rsidRDefault="00E15C83">
    <w:pPr>
      <w:pStyle w:val="Header"/>
    </w:pPr>
    <w:r>
      <w:rPr>
        <w:noProof/>
      </w:rPr>
      <w:pict w14:anchorId="685BF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06267" o:spid="_x0000_s1027" type="#_x0000_t136" style="position:absolute;margin-left:0;margin-top:0;width:507.6pt;height:101.5pt;rotation:315;z-index:-251653120;mso-position-horizontal:center;mso-position-horizontal-relative:margin;mso-position-vertical:center;mso-position-vertical-relative:margin" o:allowincell="f" fillcolor="silver" stroked="f">
          <v:fill opacity=".5"/>
          <v:textpath style="font-family:&quot;Cambria&quot;;font-size:1pt" string="Controll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DFF2" w14:textId="130CCB13" w:rsidR="00E15C83" w:rsidRDefault="00E15C83">
    <w:pPr>
      <w:pStyle w:val="Header"/>
    </w:pPr>
    <w:r>
      <w:rPr>
        <w:noProof/>
      </w:rPr>
      <w:pict w14:anchorId="69B9A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3606265" o:spid="_x0000_s1025" type="#_x0000_t136" style="position:absolute;margin-left:0;margin-top:0;width:507.6pt;height:101.5pt;rotation:315;z-index:-251657216;mso-position-horizontal:center;mso-position-horizontal-relative:margin;mso-position-vertical:center;mso-position-vertical-relative:margin" o:allowincell="f" fillcolor="silver" stroked="f">
          <v:fill opacity=".5"/>
          <v:textpath style="font-family:&quot;Cambria&quot;;font-size:1pt" string="Controll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49122049">
    <w:abstractNumId w:val="8"/>
  </w:num>
  <w:num w:numId="2" w16cid:durableId="417756504">
    <w:abstractNumId w:val="6"/>
  </w:num>
  <w:num w:numId="3" w16cid:durableId="1436051639">
    <w:abstractNumId w:val="5"/>
  </w:num>
  <w:num w:numId="4" w16cid:durableId="555431416">
    <w:abstractNumId w:val="4"/>
  </w:num>
  <w:num w:numId="5" w16cid:durableId="2104647894">
    <w:abstractNumId w:val="7"/>
  </w:num>
  <w:num w:numId="6" w16cid:durableId="1155562240">
    <w:abstractNumId w:val="3"/>
  </w:num>
  <w:num w:numId="7" w16cid:durableId="1722824270">
    <w:abstractNumId w:val="2"/>
  </w:num>
  <w:num w:numId="8" w16cid:durableId="644356539">
    <w:abstractNumId w:val="1"/>
  </w:num>
  <w:num w:numId="9" w16cid:durableId="12508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7A83"/>
    <w:rsid w:val="002830C8"/>
    <w:rsid w:val="0029639D"/>
    <w:rsid w:val="002A55B9"/>
    <w:rsid w:val="00326F90"/>
    <w:rsid w:val="00914C05"/>
    <w:rsid w:val="009242F0"/>
    <w:rsid w:val="00AA1D8D"/>
    <w:rsid w:val="00AF73DE"/>
    <w:rsid w:val="00B47730"/>
    <w:rsid w:val="00CB0664"/>
    <w:rsid w:val="00E15C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D81B73"/>
  <w14:defaultImageDpi w14:val="300"/>
  <w15:docId w15:val="{245133C1-613B-49B8-9606-AD02B53D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2370</Characters>
  <Application>Microsoft Office Word</Application>
  <DocSecurity>0</DocSecurity>
  <Lines>56</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dc:creator>
  <cp:keywords/>
  <dc:description>generated by python-docx</dc:description>
  <cp:lastModifiedBy>Farah Ally</cp:lastModifiedBy>
  <cp:revision>2</cp:revision>
  <cp:lastPrinted>2026-03-03T17:12:00Z</cp:lastPrinted>
  <dcterms:created xsi:type="dcterms:W3CDTF">2026-03-03T17:15:00Z</dcterms:created>
  <dcterms:modified xsi:type="dcterms:W3CDTF">2026-03-03T17:15:00Z</dcterms:modified>
  <cp:category/>
</cp:coreProperties>
</file>